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4B" w:rsidRDefault="00DB2F4B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DB2F4B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DB2F4B" w:rsidRDefault="003B47BE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DB2F4B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DB2F4B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DB2F4B" w:rsidRDefault="003B47BE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DB2F4B" w:rsidRDefault="003B47BE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DB2F4B" w:rsidRDefault="003B47BE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DB2F4B" w:rsidRDefault="003B47BE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DB2F4B" w:rsidRDefault="003B47BE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DB2F4B" w:rsidRDefault="003B47BE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DB2F4B" w:rsidRDefault="003B47BE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DB2F4B" w:rsidRDefault="003B47BE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DB2F4B" w:rsidRDefault="003B47BE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DB2F4B" w:rsidRDefault="003B47BE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DB2F4B" w:rsidRDefault="003B47BE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DB2F4B" w:rsidRDefault="003B47BE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DB2F4B" w:rsidRDefault="003B47BE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DB2F4B" w:rsidRDefault="003B47BE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DB2F4B" w:rsidRDefault="003B47BE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526" w:right="68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DB2F4B" w:rsidRDefault="003B47BE">
            <w:pPr>
              <w:pStyle w:val="TableParagraph"/>
              <w:spacing w:before="65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DB2F4B" w:rsidRDefault="003B47BE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5"/>
              <w:ind w:left="457" w:right="313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DB2F4B" w:rsidRDefault="003B47BE">
            <w:pPr>
              <w:pStyle w:val="TableParagraph"/>
              <w:spacing w:before="67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DB2F4B" w:rsidRDefault="003B47BE">
            <w:pPr>
              <w:pStyle w:val="TableParagraph"/>
              <w:spacing w:before="64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DB2F4B" w:rsidRDefault="003B47BE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DB2F4B" w:rsidRDefault="003B47BE">
            <w:pPr>
              <w:pStyle w:val="TableParagraph"/>
              <w:spacing w:before="65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DB2F4B" w:rsidRDefault="003B47BE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DB2F4B" w:rsidRDefault="003B47BE">
            <w:pPr>
              <w:pStyle w:val="TableParagraph"/>
              <w:spacing w:before="64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DB2F4B" w:rsidRDefault="003B47BE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DB2F4B" w:rsidRDefault="003B47BE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DB2F4B" w:rsidRDefault="003B47BE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DB2F4B" w:rsidRDefault="003B47BE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DB2F4B" w:rsidRDefault="003B47BE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DB2F4B" w:rsidRDefault="003B47BE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DB2F4B" w:rsidRDefault="003B47BE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457" w:right="90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DB2F4B" w:rsidRDefault="003B47BE">
            <w:pPr>
              <w:pStyle w:val="TableParagraph"/>
              <w:spacing w:before="65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DB2F4B" w:rsidRDefault="003B47BE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5"/>
              <w:ind w:left="457" w:right="404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DB2F4B" w:rsidRDefault="003B47BE">
            <w:pPr>
              <w:pStyle w:val="TableParagraph"/>
              <w:spacing w:before="67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DB2F4B" w:rsidRDefault="003B47BE">
            <w:pPr>
              <w:pStyle w:val="TableParagraph"/>
              <w:spacing w:before="64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DB2F4B" w:rsidRDefault="003B47BE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DB2F4B" w:rsidRDefault="003B47BE">
            <w:pPr>
              <w:pStyle w:val="TableParagraph"/>
              <w:spacing w:before="65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DB2F4B" w:rsidRDefault="003B47BE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DB2F4B" w:rsidRDefault="003B47BE">
            <w:pPr>
              <w:pStyle w:val="TableParagraph"/>
              <w:spacing w:before="64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DB2F4B" w:rsidRDefault="003B47BE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DB2F4B" w:rsidRDefault="003B47BE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700.065,82</w:t>
            </w:r>
          </w:p>
          <w:p w:rsidR="00DB2F4B" w:rsidRDefault="003B47BE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163.924,34</w:t>
            </w:r>
          </w:p>
          <w:p w:rsidR="00DB2F4B" w:rsidRDefault="003B47BE">
            <w:pPr>
              <w:pStyle w:val="TableParagraph"/>
              <w:spacing w:before="6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167.265,30</w:t>
            </w:r>
          </w:p>
          <w:p w:rsidR="00DB2F4B" w:rsidRDefault="003B47BE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138.898,45</w:t>
            </w:r>
          </w:p>
          <w:p w:rsidR="00DB2F4B" w:rsidRDefault="003B47BE">
            <w:pPr>
              <w:pStyle w:val="TableParagraph"/>
              <w:spacing w:before="6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214.367,00</w:t>
            </w:r>
          </w:p>
          <w:p w:rsidR="00DB2F4B" w:rsidRDefault="003B47BE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5.262,82</w:t>
            </w:r>
          </w:p>
          <w:p w:rsidR="00DB2F4B" w:rsidRDefault="003B47BE">
            <w:pPr>
              <w:pStyle w:val="TableParagraph"/>
              <w:spacing w:before="65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10.347,91</w:t>
            </w:r>
          </w:p>
          <w:p w:rsidR="00DB2F4B" w:rsidRDefault="003B47BE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5"/>
              <w:ind w:left="336" w:right="223"/>
              <w:jc w:val="center"/>
              <w:rPr>
                <w:sz w:val="14"/>
              </w:rPr>
            </w:pPr>
            <w:r>
              <w:rPr>
                <w:sz w:val="14"/>
              </w:rPr>
              <w:t>14.208.149,94</w:t>
            </w:r>
          </w:p>
          <w:p w:rsidR="00DB2F4B" w:rsidRDefault="003B47BE">
            <w:pPr>
              <w:pStyle w:val="TableParagraph"/>
              <w:spacing w:before="67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8.063.854,06</w:t>
            </w:r>
          </w:p>
          <w:p w:rsidR="00DB2F4B" w:rsidRDefault="003B47BE">
            <w:pPr>
              <w:pStyle w:val="TableParagraph"/>
              <w:spacing w:before="64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262.824,34</w:t>
            </w:r>
          </w:p>
          <w:p w:rsidR="00DB2F4B" w:rsidRDefault="003B47BE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334.846,56</w:t>
            </w:r>
          </w:p>
          <w:p w:rsidR="00DB2F4B" w:rsidRDefault="003B47BE">
            <w:pPr>
              <w:pStyle w:val="TableParagraph"/>
              <w:spacing w:before="65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5.436.951,75</w:t>
            </w:r>
          </w:p>
          <w:p w:rsidR="00DB2F4B" w:rsidRDefault="003B47BE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79.410,27</w:t>
            </w:r>
          </w:p>
          <w:p w:rsidR="00DB2F4B" w:rsidRDefault="003B47BE">
            <w:pPr>
              <w:pStyle w:val="TableParagraph"/>
              <w:spacing w:before="64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30.262,96</w:t>
            </w:r>
          </w:p>
          <w:p w:rsidR="00DB2F4B" w:rsidRDefault="003B47BE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30.262,96</w:t>
            </w:r>
          </w:p>
          <w:p w:rsidR="00DB2F4B" w:rsidRDefault="003B47BE">
            <w:pPr>
              <w:pStyle w:val="TableParagraph"/>
              <w:spacing w:before="65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87,66</w:t>
            </w:r>
          </w:p>
          <w:p w:rsidR="00DB2F4B" w:rsidRDefault="003B47BE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63,91</w:t>
            </w:r>
          </w:p>
          <w:p w:rsidR="00DB2F4B" w:rsidRDefault="003B47BE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95,61</w:t>
            </w:r>
          </w:p>
          <w:p w:rsidR="00DB2F4B" w:rsidRDefault="003B47BE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81,73</w:t>
            </w:r>
          </w:p>
          <w:p w:rsidR="00DB2F4B" w:rsidRDefault="003B47BE">
            <w:pPr>
              <w:pStyle w:val="TableParagraph"/>
              <w:spacing w:before="65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119,47</w:t>
            </w:r>
          </w:p>
          <w:p w:rsidR="00DB2F4B" w:rsidRDefault="003B47BE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173,50</w:t>
            </w:r>
          </w:p>
          <w:p w:rsidR="00DB2F4B" w:rsidRDefault="003B47BE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70,38</w:t>
            </w:r>
          </w:p>
          <w:p w:rsidR="00DB2F4B" w:rsidRDefault="003B47BE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5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101,23</w:t>
            </w:r>
          </w:p>
          <w:p w:rsidR="00DB2F4B" w:rsidRDefault="003B47BE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94,84</w:t>
            </w:r>
          </w:p>
          <w:p w:rsidR="00DB2F4B" w:rsidRDefault="003B47BE">
            <w:pPr>
              <w:pStyle w:val="TableParagraph"/>
              <w:spacing w:before="64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105,69</w:t>
            </w:r>
          </w:p>
          <w:p w:rsidR="00DB2F4B" w:rsidRDefault="003B47BE">
            <w:pPr>
              <w:pStyle w:val="TableParagraph"/>
              <w:spacing w:before="67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118,48</w:t>
            </w:r>
          </w:p>
          <w:p w:rsidR="00DB2F4B" w:rsidRDefault="003B47BE">
            <w:pPr>
              <w:pStyle w:val="TableParagraph"/>
              <w:spacing w:before="65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111,06</w:t>
            </w:r>
          </w:p>
          <w:p w:rsidR="00DB2F4B" w:rsidRDefault="003B47BE">
            <w:pPr>
              <w:pStyle w:val="TableParagraph"/>
              <w:spacing w:before="67"/>
              <w:ind w:left="1013" w:right="224"/>
              <w:jc w:val="center"/>
              <w:rPr>
                <w:sz w:val="14"/>
              </w:rPr>
            </w:pPr>
            <w:r>
              <w:rPr>
                <w:sz w:val="14"/>
              </w:rPr>
              <w:t>106,40</w:t>
            </w:r>
          </w:p>
          <w:p w:rsidR="00DB2F4B" w:rsidRDefault="003B47BE">
            <w:pPr>
              <w:pStyle w:val="TableParagraph"/>
              <w:spacing w:before="64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94,88</w:t>
            </w:r>
          </w:p>
          <w:p w:rsidR="00DB2F4B" w:rsidRDefault="003B47BE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94,88</w:t>
            </w:r>
          </w:p>
          <w:p w:rsidR="00DB2F4B" w:rsidRDefault="003B47BE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DB2F4B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336" w:right="223"/>
              <w:jc w:val="center"/>
              <w:rPr>
                <w:sz w:val="14"/>
              </w:rPr>
            </w:pPr>
            <w:r>
              <w:rPr>
                <w:sz w:val="14"/>
              </w:rPr>
              <w:t>14.908.215,76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1034"/>
              <w:jc w:val="left"/>
              <w:rPr>
                <w:sz w:val="14"/>
              </w:rPr>
            </w:pPr>
            <w:r>
              <w:rPr>
                <w:sz w:val="14"/>
              </w:rPr>
              <w:t>100,50</w:t>
            </w:r>
          </w:p>
        </w:tc>
      </w:tr>
    </w:tbl>
    <w:p w:rsidR="00DB2F4B" w:rsidRDefault="00DB2F4B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DB2F4B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1"/>
              <w:ind w:left="233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DB2F4B" w:rsidRDefault="003B47BE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DB2F4B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DB2F4B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479.652,74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601.869,08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529.626,12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88,00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331"/>
              <w:rPr>
                <w:sz w:val="14"/>
              </w:rPr>
            </w:pPr>
            <w:r>
              <w:rPr>
                <w:sz w:val="14"/>
              </w:rPr>
              <w:t>388.605,81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422"/>
              <w:rPr>
                <w:sz w:val="14"/>
              </w:rPr>
            </w:pPr>
            <w:r>
              <w:rPr>
                <w:sz w:val="14"/>
              </w:rPr>
              <w:t>467.887,13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394.157,13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243"/>
              <w:rPr>
                <w:sz w:val="14"/>
              </w:rPr>
            </w:pPr>
            <w:r>
              <w:rPr>
                <w:sz w:val="14"/>
              </w:rPr>
              <w:t>84,24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91.046,93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133.981,95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135.468,99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101,11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331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422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16.459,43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ind w:right="243"/>
              <w:rPr>
                <w:sz w:val="14"/>
              </w:rPr>
            </w:pPr>
            <w:r>
              <w:rPr>
                <w:sz w:val="14"/>
              </w:rPr>
              <w:t>66,37</w:t>
            </w:r>
          </w:p>
        </w:tc>
      </w:tr>
      <w:tr w:rsidR="00DB2F4B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626.669,08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546.085,55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87,14</w:t>
            </w:r>
          </w:p>
        </w:tc>
      </w:tr>
    </w:tbl>
    <w:p w:rsidR="00DB2F4B" w:rsidRDefault="00DB2F4B">
      <w:pPr>
        <w:spacing w:line="152" w:lineRule="exact"/>
        <w:rPr>
          <w:sz w:val="14"/>
        </w:rPr>
        <w:sectPr w:rsidR="00DB2F4B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DB2F4B" w:rsidRDefault="008E0A6D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8890" t="12065" r="10160" b="762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03B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DB2F4B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DB2F4B" w:rsidRDefault="00DB2F4B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DB2F4B" w:rsidRDefault="003B47BE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DB2F4B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</w:tr>
      <w:tr w:rsidR="00DB2F4B">
        <w:trPr>
          <w:trHeight w:val="20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3.159.952,74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4.002.818,89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3.095.571,98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77,33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3.094.296,98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77,30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5"/>
              <w:ind w:right="123"/>
              <w:rPr>
                <w:sz w:val="14"/>
              </w:rPr>
            </w:pPr>
            <w:r>
              <w:rPr>
                <w:sz w:val="14"/>
              </w:rPr>
              <w:t>1.275,00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1.947.752,74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1.963.850,29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1.786.437,65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90,97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1.786.437,65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90,97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1.212.200,00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2.038.968,60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1.309.134,33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64,21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1.307.859,33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64,14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1.275,00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750.125,69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639.488,35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85,25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449.430,35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59,91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190.058,00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750.125,69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639.488,35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85,25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449.430,35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59,91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190.058,00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4.752.944,58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3.735.060,33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78,58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3.543.727,33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74,56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3"/>
              <w:rPr>
                <w:sz w:val="14"/>
              </w:rPr>
            </w:pPr>
            <w:r>
              <w:rPr>
                <w:sz w:val="14"/>
              </w:rPr>
              <w:t>191.333,00</w:t>
            </w:r>
          </w:p>
        </w:tc>
      </w:tr>
    </w:tbl>
    <w:p w:rsidR="00DB2F4B" w:rsidRDefault="00DB2F4B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DB2F4B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DB2F4B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B2F4B" w:rsidRDefault="003B47BE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B2F4B" w:rsidRDefault="003B47BE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</w:tr>
      <w:tr w:rsidR="00DB2F4B">
        <w:trPr>
          <w:trHeight w:val="20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8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1.492.444,58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1.140.536,16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30,54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1.097.498,16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30,97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43.038,00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1.492.444,58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1.140.536,16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30,54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1.097.498,16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30,97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43.038,00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50.750,00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51.750,00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43.263,35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1,16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43.263,35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1,22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555.202,74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1.544.194,58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1.183.799,51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31,69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1.140.761,51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32,19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0" w:line="155" w:lineRule="exact"/>
              <w:ind w:right="123"/>
              <w:rPr>
                <w:sz w:val="14"/>
              </w:rPr>
            </w:pPr>
            <w:r>
              <w:rPr>
                <w:sz w:val="14"/>
              </w:rPr>
              <w:t>43.038,00</w:t>
            </w:r>
          </w:p>
        </w:tc>
      </w:tr>
    </w:tbl>
    <w:p w:rsidR="00DB2F4B" w:rsidRDefault="00DB2F4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DB2F4B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2.813.250,00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3.208.750,00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2.551.260,82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68,31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472"/>
              <w:jc w:val="left"/>
              <w:rPr>
                <w:sz w:val="14"/>
              </w:rPr>
            </w:pPr>
            <w:r>
              <w:rPr>
                <w:sz w:val="14"/>
              </w:rPr>
              <w:t>2.402.965,82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67,81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8"/>
              <w:ind w:left="669"/>
              <w:jc w:val="left"/>
              <w:rPr>
                <w:sz w:val="14"/>
              </w:rPr>
            </w:pPr>
            <w:r>
              <w:rPr>
                <w:sz w:val="14"/>
              </w:rPr>
              <w:t>148.295,00</w:t>
            </w:r>
          </w:p>
        </w:tc>
      </w:tr>
    </w:tbl>
    <w:p w:rsidR="00DB2F4B" w:rsidRDefault="008E0A6D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8890" t="11430" r="9525" b="381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F4B" w:rsidRDefault="003B47BE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17,11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F4B" w:rsidRDefault="003B47BE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9264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B2F4B" w:rsidRDefault="003B47BE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17,11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DB2F4B" w:rsidRDefault="003B47BE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1270" b="31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4B" w:rsidRDefault="003B47BE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DB2F4B" w:rsidRDefault="003B47BE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4B" w:rsidRDefault="003B47BE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315.028,46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DB2F4B" w:rsidRDefault="003B47BE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315.028,46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2F4B" w:rsidRDefault="00DB2F4B">
      <w:pPr>
        <w:pStyle w:val="Corpodetexto"/>
        <w:spacing w:before="4"/>
        <w:rPr>
          <w:sz w:val="20"/>
        </w:rPr>
      </w:pPr>
    </w:p>
    <w:p w:rsidR="00DB2F4B" w:rsidRDefault="00DB2F4B">
      <w:pPr>
        <w:rPr>
          <w:sz w:val="20"/>
        </w:rPr>
        <w:sectPr w:rsidR="00DB2F4B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DB2F4B" w:rsidRDefault="00DB2F4B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DB2F4B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DB2F4B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B2F4B" w:rsidRDefault="00DB2F4B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1050"/>
        <w:gridCol w:w="1201"/>
        <w:gridCol w:w="641"/>
        <w:gridCol w:w="972"/>
        <w:gridCol w:w="230"/>
        <w:gridCol w:w="404"/>
        <w:gridCol w:w="2325"/>
      </w:tblGrid>
      <w:tr w:rsidR="00DB2F4B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DB2F4B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DB2F4B" w:rsidRDefault="003B47BE"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DB2F4B" w:rsidRDefault="003B47BE">
            <w:pPr>
              <w:pStyle w:val="TableParagraph"/>
              <w:spacing w:before="0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DB2F4B" w:rsidRDefault="003B47BE">
            <w:pPr>
              <w:pStyle w:val="TableParagraph"/>
              <w:spacing w:before="0"/>
              <w:ind w:left="473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DB2F4B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B2F4B" w:rsidRDefault="00DB2F4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2249"/>
        <w:gridCol w:w="2326"/>
      </w:tblGrid>
      <w:tr w:rsidR="00DB2F4B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6826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2525" w:right="2670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DB2F4B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DB2F4B" w:rsidRDefault="003B47BE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DB2F4B" w:rsidRDefault="003B47BE">
            <w:pPr>
              <w:pStyle w:val="TableParagraph"/>
              <w:spacing w:before="0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DB2F4B">
        <w:trPr>
          <w:trHeight w:val="450"/>
        </w:trPr>
        <w:tc>
          <w:tcPr>
            <w:tcW w:w="888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  <w:p w:rsidR="00DB2F4B" w:rsidRDefault="003B47BE">
            <w:pPr>
              <w:pStyle w:val="TableParagraph"/>
              <w:spacing w:before="64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8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B2F4B" w:rsidRDefault="003B47BE">
            <w:pPr>
              <w:pStyle w:val="TableParagraph"/>
              <w:spacing w:before="64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B2F4B" w:rsidRDefault="00DB2F4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DB2F4B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B2F4B" w:rsidRDefault="003B47BE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DB2F4B" w:rsidRDefault="00DB2F4B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DB2F4B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B2F4B" w:rsidRDefault="003B47BE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DB2F4B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DB2F4B" w:rsidRDefault="003B47BE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B2F4B" w:rsidRDefault="003B47BE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B2F4B" w:rsidRDefault="003B47BE">
            <w:pPr>
              <w:pStyle w:val="TableParagraph"/>
              <w:spacing w:before="50"/>
              <w:ind w:left="119" w:right="150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B2F4B" w:rsidRDefault="00DB2F4B">
            <w:pPr>
              <w:rPr>
                <w:sz w:val="2"/>
                <w:szCs w:val="2"/>
              </w:rPr>
            </w:pPr>
          </w:p>
        </w:tc>
      </w:tr>
      <w:tr w:rsidR="00DB2F4B">
        <w:trPr>
          <w:trHeight w:val="20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1.721.539,15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1.572.557,07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42,10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1.571.582,07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44,35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8"/>
              <w:ind w:right="123"/>
              <w:rPr>
                <w:sz w:val="14"/>
              </w:rPr>
            </w:pPr>
            <w:r>
              <w:rPr>
                <w:sz w:val="14"/>
              </w:rPr>
              <w:t>975,00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2.625.071,52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1.902.407,84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50,93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1.712.049,84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48,31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190.358,00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260.262,58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164.330,07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4,40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164.330,07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4,64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2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82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51"/>
              <w:rPr>
                <w:sz w:val="14"/>
              </w:rPr>
            </w:pPr>
            <w:r>
              <w:rPr>
                <w:sz w:val="14"/>
              </w:rPr>
              <w:t>58.226,72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42.795,72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2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34"/>
              <w:rPr>
                <w:sz w:val="14"/>
              </w:rPr>
            </w:pPr>
            <w:r>
              <w:rPr>
                <w:sz w:val="14"/>
              </w:rPr>
              <w:t>42.795,72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29"/>
              <w:ind w:right="120"/>
              <w:rPr>
                <w:sz w:val="14"/>
              </w:rPr>
            </w:pPr>
            <w:r>
              <w:rPr>
                <w:sz w:val="14"/>
              </w:rPr>
              <w:t>1,21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2F4B" w:rsidRDefault="003B47BE">
            <w:pPr>
              <w:pStyle w:val="TableParagraph"/>
              <w:spacing w:before="29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24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87.844,61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52.969,63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52.969,63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1,49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ind w:right="1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B2F4B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4.752.944,58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3.735.060,33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3.543.727,33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DB2F4B" w:rsidRDefault="003B47BE">
            <w:pPr>
              <w:pStyle w:val="TableParagraph"/>
              <w:spacing w:before="0" w:line="152" w:lineRule="exact"/>
              <w:ind w:right="123"/>
              <w:rPr>
                <w:sz w:val="14"/>
              </w:rPr>
            </w:pPr>
            <w:r>
              <w:rPr>
                <w:sz w:val="14"/>
              </w:rPr>
              <w:t>191.333,00</w:t>
            </w:r>
          </w:p>
        </w:tc>
      </w:tr>
    </w:tbl>
    <w:p w:rsidR="00DB2F4B" w:rsidRDefault="003B47BE">
      <w:pPr>
        <w:pStyle w:val="Corpodetexto"/>
        <w:spacing w:before="37"/>
        <w:ind w:left="159"/>
      </w:pPr>
      <w:r>
        <w:t>FONTE: Contabilidade</w:t>
      </w:r>
    </w:p>
    <w:p w:rsidR="00DB2F4B" w:rsidRDefault="00DB2F4B">
      <w:pPr>
        <w:pStyle w:val="Corpodetexto"/>
        <w:rPr>
          <w:sz w:val="20"/>
        </w:rPr>
      </w:pPr>
    </w:p>
    <w:p w:rsidR="00DB2F4B" w:rsidRDefault="00DB2F4B">
      <w:pPr>
        <w:pStyle w:val="Corpodetexto"/>
        <w:rPr>
          <w:sz w:val="20"/>
        </w:rPr>
      </w:pPr>
    </w:p>
    <w:p w:rsidR="00DB2F4B" w:rsidRDefault="00DB2F4B">
      <w:pPr>
        <w:rPr>
          <w:sz w:val="20"/>
        </w:rPr>
        <w:sectPr w:rsidR="00DB2F4B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DB2F4B" w:rsidRDefault="00DB2F4B">
      <w:pPr>
        <w:pStyle w:val="Corpodetexto"/>
        <w:spacing w:before="8"/>
        <w:rPr>
          <w:sz w:val="20"/>
        </w:rPr>
      </w:pPr>
    </w:p>
    <w:p w:rsidR="00DB2F4B" w:rsidRDefault="003B47BE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DB2F4B" w:rsidRDefault="003B47BE">
      <w:pPr>
        <w:pStyle w:val="Corpodetexto"/>
        <w:spacing w:before="6"/>
        <w:rPr>
          <w:sz w:val="20"/>
        </w:rPr>
      </w:pPr>
      <w:r>
        <w:br w:type="column"/>
      </w:r>
    </w:p>
    <w:p w:rsidR="00DB2F4B" w:rsidRDefault="003B47BE">
      <w:pPr>
        <w:pStyle w:val="Corpodetexto"/>
        <w:spacing w:line="156" w:lineRule="exact"/>
        <w:ind w:left="1755"/>
      </w:pPr>
      <w:r>
        <w:t>JACQUELINE GEHLEN TRES</w:t>
      </w:r>
    </w:p>
    <w:p w:rsidR="00DB2F4B" w:rsidRDefault="003B47BE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DB2F4B" w:rsidRDefault="003B47BE">
      <w:pPr>
        <w:pStyle w:val="Corpodetexto"/>
        <w:spacing w:before="8"/>
        <w:rPr>
          <w:sz w:val="20"/>
        </w:rPr>
      </w:pPr>
      <w:r>
        <w:br w:type="column"/>
      </w:r>
    </w:p>
    <w:p w:rsidR="00DB2F4B" w:rsidRDefault="003B47BE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DB2F4B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E" w:rsidRDefault="003B47BE">
      <w:r>
        <w:separator/>
      </w:r>
    </w:p>
  </w:endnote>
  <w:endnote w:type="continuationSeparator" w:id="0">
    <w:p w:rsidR="003B47BE" w:rsidRDefault="003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E" w:rsidRDefault="003B47BE">
      <w:r>
        <w:separator/>
      </w:r>
    </w:p>
  </w:footnote>
  <w:footnote w:type="continuationSeparator" w:id="0">
    <w:p w:rsidR="003B47BE" w:rsidRDefault="003B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4B" w:rsidRDefault="008E0A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4B" w:rsidRDefault="003B47BE">
                          <w:pPr>
                            <w:spacing w:before="12" w:line="278" w:lineRule="auto"/>
                            <w:ind w:left="20" w:right="641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DB2F4B" w:rsidRDefault="003B47BE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DB2F4B" w:rsidRDefault="003B47BE">
                          <w:pPr>
                            <w:spacing w:before="2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</w:t>
                          </w:r>
                        </w:p>
                        <w:p w:rsidR="00DB2F4B" w:rsidRDefault="003B47BE">
                          <w:pPr>
                            <w:spacing w:before="3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JANEIRO A DEZEMBRO 2018</w:t>
                          </w:r>
                          <w:r>
                            <w:rPr>
                              <w:sz w:val="18"/>
                            </w:rPr>
                            <w:t>/BIMESTRE NOVEMBRO-DEZEMBRO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DB2F4B" w:rsidRDefault="003B47BE">
                    <w:pPr>
                      <w:spacing w:before="12" w:line="278" w:lineRule="auto"/>
                      <w:ind w:left="20" w:right="64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DB2F4B" w:rsidRDefault="003B47BE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DB2F4B" w:rsidRDefault="003B47BE">
                    <w:pPr>
                      <w:spacing w:before="2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</w:t>
                    </w:r>
                  </w:p>
                  <w:p w:rsidR="00DB2F4B" w:rsidRDefault="003B47BE">
                    <w:pPr>
                      <w:spacing w:before="3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JANEIRO A DEZEMBRO 2018</w:t>
                    </w:r>
                    <w:r>
                      <w:rPr>
                        <w:sz w:val="18"/>
                      </w:rPr>
                      <w:t>/BIMESTRE NOVEMBRO-DEZEMBRO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04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4B" w:rsidRDefault="003B47B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DB2F4B" w:rsidRDefault="003B47B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072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4B" w:rsidRDefault="003B47BE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DB2F4B" w:rsidRDefault="003B47BE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4B"/>
    <w:rsid w:val="003B47BE"/>
    <w:rsid w:val="008E0A6D"/>
    <w:rsid w:val="00D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5F509-DC75-4303-A35B-DA6C7AD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2019-01-24T13:16:00Z</dcterms:created>
  <dcterms:modified xsi:type="dcterms:W3CDTF">2019-01-24T13:16:00Z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